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07" w:rsidRDefault="006D5EBF">
      <w:pPr>
        <w:pStyle w:val="Ttulo5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PROCESSO SELETIVO PARA VAGAS RESIDUAIS 201</w:t>
      </w:r>
      <w:r w:rsidR="00857CC9">
        <w:rPr>
          <w:rFonts w:ascii="Times New Roman" w:hAnsi="Times New Roman"/>
          <w:sz w:val="24"/>
          <w:szCs w:val="24"/>
        </w:rPr>
        <w:t>7</w:t>
      </w:r>
    </w:p>
    <w:p w:rsidR="00C94107" w:rsidRDefault="006D5EBF" w:rsidP="00D95C9C">
      <w:pPr>
        <w:pStyle w:val="Ttulo6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SOCIOLOGIA I</w:t>
      </w:r>
      <w:r w:rsidR="00857CC9">
        <w:rPr>
          <w:sz w:val="24"/>
          <w:szCs w:val="24"/>
        </w:rPr>
        <w:t xml:space="preserve">     </w:t>
      </w:r>
      <w:bookmarkStart w:id="0" w:name="_GoBack"/>
      <w:bookmarkEnd w:id="0"/>
    </w:p>
    <w:p w:rsidR="00C94107" w:rsidRDefault="006D5EBF">
      <w:pPr>
        <w:pStyle w:val="Ttulo7"/>
        <w:spacing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CONTEÚDO PROGRAMÁTICO</w:t>
      </w:r>
    </w:p>
    <w:p w:rsidR="00C94107" w:rsidRDefault="006D5EB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– POR QUE A SOCIEDADE É OBJETO DE REFLEXÃO? QUE TEMAS A SOCIEDADE ABORDA?</w:t>
      </w:r>
    </w:p>
    <w:p w:rsidR="00C94107" w:rsidRDefault="00C94107">
      <w:pPr>
        <w:jc w:val="both"/>
        <w:rPr>
          <w:sz w:val="24"/>
          <w:szCs w:val="24"/>
        </w:rPr>
      </w:pPr>
    </w:p>
    <w:p w:rsidR="00C94107" w:rsidRDefault="006D5EB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:rsidR="00C94107" w:rsidRDefault="006D5EBF">
      <w:pPr>
        <w:numPr>
          <w:ilvl w:val="0"/>
          <w:numId w:val="1"/>
        </w:numPr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contexto histórico e intelectual do aparecimento da sociologia; </w:t>
      </w:r>
    </w:p>
    <w:p w:rsidR="00C94107" w:rsidRDefault="006D5EBF">
      <w:pPr>
        <w:numPr>
          <w:ilvl w:val="0"/>
          <w:numId w:val="1"/>
        </w:numPr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concepção e a necessidade da “Imaginação Sociológica” como elemento formador da sociologia e dos sociólogos;</w:t>
      </w:r>
    </w:p>
    <w:p w:rsidR="00C94107" w:rsidRDefault="006D5EBF">
      <w:pPr>
        <w:numPr>
          <w:ilvl w:val="0"/>
          <w:numId w:val="1"/>
        </w:numPr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origem da sociologia ou da “física social”: o positivismo de Auguste Comte;</w:t>
      </w:r>
    </w:p>
    <w:p w:rsidR="00C94107" w:rsidRDefault="006D5EBF">
      <w:pPr>
        <w:numPr>
          <w:ilvl w:val="0"/>
          <w:numId w:val="1"/>
        </w:numPr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debate contemporâneo sobre as ciências sociais: fazer ciências sociais para que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para quem e o lugar da “sociologia pública”.</w:t>
      </w:r>
    </w:p>
    <w:p w:rsidR="00C94107" w:rsidRDefault="00C94107">
      <w:pPr>
        <w:jc w:val="both"/>
        <w:rPr>
          <w:sz w:val="24"/>
          <w:szCs w:val="24"/>
        </w:rPr>
      </w:pPr>
    </w:p>
    <w:p w:rsidR="00C94107" w:rsidRDefault="006D5EB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– COMO PENSAR A REALIDADE SOCIAL? COMO A SOCIOLOGIA ABORDA ESTA REALIDADE?</w:t>
      </w:r>
    </w:p>
    <w:p w:rsidR="00C94107" w:rsidRDefault="00C94107">
      <w:pPr>
        <w:jc w:val="both"/>
        <w:rPr>
          <w:b/>
          <w:sz w:val="24"/>
          <w:szCs w:val="24"/>
        </w:rPr>
      </w:pPr>
    </w:p>
    <w:p w:rsidR="00C94107" w:rsidRDefault="006D5EB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SOCIOLOGIA DE DURKHEIM</w:t>
      </w:r>
    </w:p>
    <w:p w:rsidR="00C94107" w:rsidRDefault="006D5EBF">
      <w:pPr>
        <w:numPr>
          <w:ilvl w:val="0"/>
          <w:numId w:val="2"/>
        </w:numPr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trajetória, o contexto histórico e as proposições de Durkheim para fundar uma sociologia como ciência.</w:t>
      </w:r>
    </w:p>
    <w:p w:rsidR="00C94107" w:rsidRDefault="00C94107">
      <w:pPr>
        <w:tabs>
          <w:tab w:val="left" w:pos="284"/>
        </w:tabs>
        <w:jc w:val="both"/>
        <w:rPr>
          <w:sz w:val="24"/>
          <w:szCs w:val="24"/>
        </w:rPr>
      </w:pPr>
    </w:p>
    <w:p w:rsidR="00C94107" w:rsidRDefault="006D5EBF">
      <w:pPr>
        <w:numPr>
          <w:ilvl w:val="0"/>
          <w:numId w:val="2"/>
        </w:numPr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proposta de método sociológico em Durkheim: as principais regras.</w:t>
      </w:r>
    </w:p>
    <w:p w:rsidR="00C94107" w:rsidRDefault="006D5EBF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2.1 O objeto de estudo da sociologia;</w:t>
      </w:r>
    </w:p>
    <w:p w:rsidR="00C94107" w:rsidRDefault="006D5EBF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2.2 A relação sujeito-objeto da investigação;</w:t>
      </w:r>
    </w:p>
    <w:p w:rsidR="00C94107" w:rsidRDefault="006D5EBF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2.3 Os fatos sociais considerados como “coisas”;</w:t>
      </w:r>
    </w:p>
    <w:p w:rsidR="00C94107" w:rsidRDefault="006D5EBF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2.4 A definição de fato social.</w:t>
      </w:r>
    </w:p>
    <w:p w:rsidR="00C94107" w:rsidRDefault="00C94107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:rsidR="00C94107" w:rsidRDefault="006D5EBF">
      <w:pPr>
        <w:numPr>
          <w:ilvl w:val="0"/>
          <w:numId w:val="2"/>
        </w:numPr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Divisão do trabalho social.</w:t>
      </w:r>
    </w:p>
    <w:p w:rsidR="00C94107" w:rsidRDefault="006D5EBF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3.1 Como</w:t>
      </w:r>
      <w:proofErr w:type="gramEnd"/>
      <w:r>
        <w:rPr>
          <w:sz w:val="24"/>
          <w:szCs w:val="24"/>
        </w:rPr>
        <w:t xml:space="preserve"> explicar a sociedade moderna industrial?</w:t>
      </w:r>
    </w:p>
    <w:p w:rsidR="00C94107" w:rsidRDefault="006D5EBF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3.2 A crescente divisão do trabalho e diferenciação social com a especialização não leva ao desmoronamento da sociedade?</w:t>
      </w:r>
    </w:p>
    <w:p w:rsidR="00C94107" w:rsidRDefault="006D5EBF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3.3 A função da divisão do trabalho social: a solidariedade orgânica e a solidariedade mecânica;</w:t>
      </w:r>
    </w:p>
    <w:p w:rsidR="00C94107" w:rsidRDefault="006D5EBF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3.4 Consciência individual e consciência coletiva, representações individuais e representações coletivas;</w:t>
      </w:r>
    </w:p>
    <w:p w:rsidR="00C94107" w:rsidRDefault="006D5EBF">
      <w:pPr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3.5 A divisão do trabalho </w:t>
      </w:r>
      <w:proofErr w:type="spellStart"/>
      <w:r>
        <w:rPr>
          <w:sz w:val="24"/>
          <w:szCs w:val="24"/>
        </w:rPr>
        <w:t>anômica</w:t>
      </w:r>
      <w:proofErr w:type="spellEnd"/>
      <w:r>
        <w:rPr>
          <w:sz w:val="24"/>
          <w:szCs w:val="24"/>
        </w:rPr>
        <w:t xml:space="preserve"> e a anomia social.</w:t>
      </w:r>
    </w:p>
    <w:p w:rsidR="00C94107" w:rsidRDefault="00C94107">
      <w:pPr>
        <w:ind w:left="142"/>
        <w:jc w:val="both"/>
        <w:rPr>
          <w:sz w:val="24"/>
          <w:szCs w:val="24"/>
        </w:rPr>
      </w:pPr>
    </w:p>
    <w:p w:rsidR="00C94107" w:rsidRDefault="006D5EBF">
      <w:pPr>
        <w:numPr>
          <w:ilvl w:val="0"/>
          <w:numId w:val="2"/>
        </w:numPr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 Suicídio – estudo de sociologia.</w:t>
      </w:r>
    </w:p>
    <w:p w:rsidR="00C94107" w:rsidRDefault="006D5EBF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4.1 Causas sociais e tipos sociais de suicídio;</w:t>
      </w:r>
    </w:p>
    <w:p w:rsidR="00C94107" w:rsidRDefault="006D5EBF">
      <w:pPr>
        <w:spacing w:line="360" w:lineRule="auto"/>
        <w:ind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4.2 Uma</w:t>
      </w:r>
      <w:proofErr w:type="gramEnd"/>
      <w:r>
        <w:rPr>
          <w:sz w:val="24"/>
          <w:szCs w:val="24"/>
        </w:rPr>
        <w:t xml:space="preserve"> definição sociológica de suicídio;</w:t>
      </w:r>
    </w:p>
    <w:p w:rsidR="00C94107" w:rsidRDefault="006D5EBF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4.3 O suicídio como fato social e suas determinações sociais;</w:t>
      </w:r>
    </w:p>
    <w:p w:rsidR="00C94107" w:rsidRDefault="006D5EBF">
      <w:pPr>
        <w:spacing w:line="360" w:lineRule="auto"/>
        <w:ind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4.4 As</w:t>
      </w:r>
      <w:proofErr w:type="gramEnd"/>
      <w:r>
        <w:rPr>
          <w:sz w:val="24"/>
          <w:szCs w:val="24"/>
        </w:rPr>
        <w:t xml:space="preserve"> taxas de suicídio em diferentes períodos e sociedades: as ondas </w:t>
      </w:r>
      <w:proofErr w:type="spellStart"/>
      <w:r>
        <w:rPr>
          <w:sz w:val="24"/>
          <w:szCs w:val="24"/>
        </w:rPr>
        <w:t>suicidógenas</w:t>
      </w:r>
      <w:proofErr w:type="spellEnd"/>
      <w:r>
        <w:rPr>
          <w:sz w:val="24"/>
          <w:szCs w:val="24"/>
        </w:rPr>
        <w:t>;</w:t>
      </w:r>
    </w:p>
    <w:p w:rsidR="00C94107" w:rsidRDefault="006D5EBF">
      <w:pPr>
        <w:spacing w:line="360" w:lineRule="auto"/>
        <w:ind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4.5 Os</w:t>
      </w:r>
      <w:proofErr w:type="gramEnd"/>
      <w:r>
        <w:rPr>
          <w:sz w:val="24"/>
          <w:szCs w:val="24"/>
        </w:rPr>
        <w:t xml:space="preserve"> tipos de suicídio: egoísta, altruísta e </w:t>
      </w:r>
      <w:proofErr w:type="spellStart"/>
      <w:r>
        <w:rPr>
          <w:sz w:val="24"/>
          <w:szCs w:val="24"/>
        </w:rPr>
        <w:t>anômico</w:t>
      </w:r>
      <w:proofErr w:type="spellEnd"/>
      <w:r>
        <w:rPr>
          <w:sz w:val="24"/>
          <w:szCs w:val="24"/>
        </w:rPr>
        <w:t>.</w:t>
      </w:r>
    </w:p>
    <w:p w:rsidR="00C94107" w:rsidRDefault="00C94107">
      <w:pPr>
        <w:ind w:hanging="284"/>
        <w:jc w:val="both"/>
        <w:rPr>
          <w:sz w:val="24"/>
          <w:szCs w:val="24"/>
        </w:rPr>
      </w:pPr>
    </w:p>
    <w:p w:rsidR="00C94107" w:rsidRDefault="006D5EBF">
      <w:pPr>
        <w:numPr>
          <w:ilvl w:val="0"/>
          <w:numId w:val="2"/>
        </w:numPr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As formas elementares da vida religiosa.</w:t>
      </w:r>
    </w:p>
    <w:p w:rsidR="00C94107" w:rsidRDefault="006D5EBF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5.1 A origem da religião;</w:t>
      </w:r>
    </w:p>
    <w:p w:rsidR="00C94107" w:rsidRDefault="006D5EBF">
      <w:pPr>
        <w:spacing w:line="360" w:lineRule="auto"/>
        <w:ind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5.2 As</w:t>
      </w:r>
      <w:proofErr w:type="gramEnd"/>
      <w:r>
        <w:rPr>
          <w:sz w:val="24"/>
          <w:szCs w:val="24"/>
        </w:rPr>
        <w:t xml:space="preserve"> formas primitivas de religião: o totemismo;</w:t>
      </w:r>
    </w:p>
    <w:p w:rsidR="00C94107" w:rsidRDefault="006D5EBF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5.3 A função da religião;</w:t>
      </w:r>
    </w:p>
    <w:p w:rsidR="00C94107" w:rsidRDefault="006D5EBF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5.4 A relação entre religião e uma sociologia do conhecimento;</w:t>
      </w:r>
    </w:p>
    <w:p w:rsidR="00C94107" w:rsidRDefault="006D5EBF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5.5 A relação entre ciência e religião;</w:t>
      </w:r>
    </w:p>
    <w:p w:rsidR="00C94107" w:rsidRDefault="006D5EBF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5.6 O lugar da crença como elemento do poder de coerção sobre os indivíduos.</w:t>
      </w:r>
    </w:p>
    <w:p w:rsidR="00C94107" w:rsidRDefault="00C94107">
      <w:pPr>
        <w:jc w:val="both"/>
        <w:rPr>
          <w:sz w:val="24"/>
          <w:szCs w:val="24"/>
        </w:rPr>
      </w:pPr>
    </w:p>
    <w:p w:rsidR="00C94107" w:rsidRDefault="006D5EB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SOCIOLOGIA DE MAX WEBER</w:t>
      </w:r>
    </w:p>
    <w:p w:rsidR="00C94107" w:rsidRDefault="006D5EBF">
      <w:pPr>
        <w:numPr>
          <w:ilvl w:val="0"/>
          <w:numId w:val="2"/>
        </w:numPr>
        <w:tabs>
          <w:tab w:val="left" w:pos="284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A trajetória intelectual de Weber e suas principais contribuições à sociologia.</w:t>
      </w:r>
    </w:p>
    <w:p w:rsidR="00C94107" w:rsidRDefault="00C94107">
      <w:pPr>
        <w:ind w:hanging="284"/>
        <w:rPr>
          <w:sz w:val="24"/>
          <w:szCs w:val="24"/>
        </w:rPr>
      </w:pPr>
    </w:p>
    <w:p w:rsidR="00C94107" w:rsidRDefault="006D5EBF">
      <w:pPr>
        <w:numPr>
          <w:ilvl w:val="0"/>
          <w:numId w:val="2"/>
        </w:numPr>
        <w:tabs>
          <w:tab w:val="left" w:pos="284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Max Weber e a teoria social: ação e renúncia.</w:t>
      </w:r>
    </w:p>
    <w:p w:rsidR="00C94107" w:rsidRDefault="00C94107">
      <w:pPr>
        <w:ind w:hanging="284"/>
        <w:rPr>
          <w:sz w:val="24"/>
          <w:szCs w:val="24"/>
        </w:rPr>
      </w:pPr>
    </w:p>
    <w:p w:rsidR="00C94107" w:rsidRDefault="006D5EBF">
      <w:pPr>
        <w:numPr>
          <w:ilvl w:val="0"/>
          <w:numId w:val="2"/>
        </w:numPr>
        <w:tabs>
          <w:tab w:val="left" w:pos="284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 sociologia compreensiva: </w:t>
      </w:r>
    </w:p>
    <w:p w:rsidR="00C94107" w:rsidRDefault="006D5EBF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8.1 Weber e o método – a objetividade do conhecimento nas ciências sociais e os tipos ideais;</w:t>
      </w:r>
    </w:p>
    <w:p w:rsidR="00C94107" w:rsidRDefault="006D5EBF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8.2 As</w:t>
      </w:r>
      <w:proofErr w:type="gramEnd"/>
      <w:r>
        <w:rPr>
          <w:sz w:val="24"/>
          <w:szCs w:val="24"/>
        </w:rPr>
        <w:t xml:space="preserve"> relações de causalidade: as afinidades eletivas.</w:t>
      </w:r>
    </w:p>
    <w:p w:rsidR="00C94107" w:rsidRDefault="00C94107">
      <w:pPr>
        <w:ind w:hanging="284"/>
        <w:rPr>
          <w:sz w:val="24"/>
          <w:szCs w:val="24"/>
        </w:rPr>
      </w:pPr>
    </w:p>
    <w:p w:rsidR="00C94107" w:rsidRDefault="006D5EBF">
      <w:pPr>
        <w:numPr>
          <w:ilvl w:val="0"/>
          <w:numId w:val="2"/>
        </w:numPr>
        <w:tabs>
          <w:tab w:val="left" w:pos="284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Conceitos sociológicos fundamentais:</w:t>
      </w:r>
    </w:p>
    <w:p w:rsidR="00C94107" w:rsidRDefault="006D5EBF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9.1 A sociologia como estudo da ação social, o sentido da ação e os tipos de ação social.</w:t>
      </w:r>
    </w:p>
    <w:p w:rsidR="00C94107" w:rsidRDefault="00C94107">
      <w:pPr>
        <w:ind w:hanging="284"/>
        <w:rPr>
          <w:sz w:val="24"/>
          <w:szCs w:val="24"/>
        </w:rPr>
      </w:pPr>
    </w:p>
    <w:p w:rsidR="00C94107" w:rsidRDefault="006D5E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O capitalismo compreendido como uma forma de conduta:</w:t>
      </w:r>
    </w:p>
    <w:p w:rsidR="00C94107" w:rsidRDefault="006D5EBF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10.1 O sentido cultural da sociedade moderna: a ética protestante e o “espírito” do capitalismo.</w:t>
      </w:r>
    </w:p>
    <w:p w:rsidR="00C94107" w:rsidRDefault="006D5EBF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10.2 Tradicionalismo econômico e racionalização econômica fundada na conduta ascética orientada para o trabalho.</w:t>
      </w:r>
    </w:p>
    <w:p w:rsidR="00C94107" w:rsidRDefault="00C94107">
      <w:pPr>
        <w:rPr>
          <w:sz w:val="24"/>
          <w:szCs w:val="24"/>
        </w:rPr>
      </w:pPr>
    </w:p>
    <w:p w:rsidR="00C94107" w:rsidRDefault="006D5E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 A relação de dominação como relação social: os tipos puros de dominação.</w:t>
      </w:r>
    </w:p>
    <w:p w:rsidR="00C94107" w:rsidRDefault="00C94107">
      <w:pPr>
        <w:rPr>
          <w:sz w:val="24"/>
          <w:szCs w:val="24"/>
        </w:rPr>
      </w:pPr>
    </w:p>
    <w:p w:rsidR="00C94107" w:rsidRDefault="006D5E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A ética econômica das religiões mundiais:</w:t>
      </w:r>
    </w:p>
    <w:p w:rsidR="00C94107" w:rsidRDefault="006D5EBF">
      <w:pPr>
        <w:spacing w:line="360" w:lineRule="auto"/>
        <w:ind w:firstLine="142"/>
        <w:rPr>
          <w:sz w:val="24"/>
          <w:szCs w:val="24"/>
        </w:rPr>
      </w:pPr>
      <w:proofErr w:type="gramStart"/>
      <w:r>
        <w:rPr>
          <w:sz w:val="24"/>
          <w:szCs w:val="24"/>
        </w:rPr>
        <w:t>12.1 Diferentes</w:t>
      </w:r>
      <w:proofErr w:type="gramEnd"/>
      <w:r>
        <w:rPr>
          <w:sz w:val="24"/>
          <w:szCs w:val="24"/>
        </w:rPr>
        <w:t xml:space="preserve"> religiões e diferentes racionalidades;</w:t>
      </w:r>
    </w:p>
    <w:p w:rsidR="00C94107" w:rsidRDefault="006D5EBF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12.2 A influência dos interesses materiais e ideais na ética religiosa.</w:t>
      </w:r>
    </w:p>
    <w:p w:rsidR="00C94107" w:rsidRDefault="00C94107">
      <w:pPr>
        <w:ind w:hanging="284"/>
        <w:rPr>
          <w:sz w:val="24"/>
          <w:szCs w:val="24"/>
        </w:rPr>
      </w:pPr>
    </w:p>
    <w:p w:rsidR="00C94107" w:rsidRDefault="006D5E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Racionalização, desencantamento do mundo e secularização.</w:t>
      </w:r>
    </w:p>
    <w:p w:rsidR="00C94107" w:rsidRDefault="00C94107">
      <w:pPr>
        <w:rPr>
          <w:sz w:val="24"/>
          <w:szCs w:val="24"/>
        </w:rPr>
      </w:pPr>
    </w:p>
    <w:p w:rsidR="00C94107" w:rsidRDefault="006D5E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sz w:val="24"/>
          <w:szCs w:val="24"/>
        </w:rPr>
        <w:t xml:space="preserve"> Classe, estamento e partido: as ordens econômica, social e política.</w:t>
      </w:r>
    </w:p>
    <w:p w:rsidR="00C94107" w:rsidRDefault="00C94107">
      <w:pPr>
        <w:ind w:hanging="284"/>
        <w:rPr>
          <w:sz w:val="24"/>
          <w:szCs w:val="24"/>
        </w:rPr>
      </w:pPr>
    </w:p>
    <w:p w:rsidR="00C94107" w:rsidRDefault="006D5EB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sz w:val="24"/>
          <w:szCs w:val="24"/>
        </w:rPr>
        <w:t xml:space="preserve"> A política como vocação: o que é política e a concepção de estado. </w:t>
      </w:r>
    </w:p>
    <w:p w:rsidR="00C94107" w:rsidRDefault="00C94107">
      <w:pPr>
        <w:spacing w:line="360" w:lineRule="auto"/>
        <w:rPr>
          <w:b/>
          <w:sz w:val="24"/>
          <w:szCs w:val="24"/>
        </w:rPr>
      </w:pPr>
    </w:p>
    <w:p w:rsidR="00C94107" w:rsidRDefault="006D5EB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BIBLIOGRAFIA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ADORNO, S. Anomia, um conceito, uma história, um destino. In: NASSELA, A. B.; FILHO, F. P.; AUGUSTO, M. H. O.; WEISS, R. </w:t>
      </w:r>
      <w:r>
        <w:rPr>
          <w:b/>
          <w:sz w:val="24"/>
          <w:szCs w:val="24"/>
        </w:rPr>
        <w:t>Durkheim: 150 anos</w:t>
      </w:r>
      <w:r>
        <w:rPr>
          <w:sz w:val="24"/>
          <w:szCs w:val="24"/>
        </w:rPr>
        <w:t xml:space="preserve">. Belo Horizonte: </w:t>
      </w:r>
      <w:proofErr w:type="spellStart"/>
      <w:r>
        <w:rPr>
          <w:sz w:val="24"/>
          <w:szCs w:val="24"/>
        </w:rPr>
        <w:t>Argumentum</w:t>
      </w:r>
      <w:proofErr w:type="spellEnd"/>
      <w:r>
        <w:rPr>
          <w:sz w:val="24"/>
          <w:szCs w:val="24"/>
        </w:rPr>
        <w:t xml:space="preserve">, 2009, p. 131-155.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BURAWOY, M. “Abrir as Ciências Sociais: Para quem e para </w:t>
      </w:r>
      <w:proofErr w:type="gramStart"/>
      <w:r>
        <w:rPr>
          <w:sz w:val="24"/>
          <w:szCs w:val="24"/>
        </w:rPr>
        <w:t>quê?”</w:t>
      </w:r>
      <w:proofErr w:type="gramEnd"/>
      <w:r>
        <w:rPr>
          <w:sz w:val="24"/>
          <w:szCs w:val="24"/>
        </w:rPr>
        <w:t xml:space="preserve"> In: BRAGA, Ruy e BUROWAY, Comte, A. “Curso de filosofia positiva”. In: </w:t>
      </w:r>
      <w:r>
        <w:rPr>
          <w:b/>
          <w:sz w:val="24"/>
          <w:szCs w:val="24"/>
        </w:rPr>
        <w:t xml:space="preserve">Comte: </w:t>
      </w:r>
      <w:r>
        <w:rPr>
          <w:sz w:val="24"/>
          <w:szCs w:val="24"/>
        </w:rPr>
        <w:t xml:space="preserve">Os Pensadores. São Paulo: </w:t>
      </w:r>
      <w:proofErr w:type="gramStart"/>
      <w:r>
        <w:rPr>
          <w:sz w:val="24"/>
          <w:szCs w:val="24"/>
        </w:rPr>
        <w:t>Abril</w:t>
      </w:r>
      <w:proofErr w:type="gramEnd"/>
      <w:r>
        <w:rPr>
          <w:sz w:val="24"/>
          <w:szCs w:val="24"/>
        </w:rPr>
        <w:t xml:space="preserve"> Cultural, 1978.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>COHN, G. (org.).</w:t>
      </w:r>
      <w:r>
        <w:rPr>
          <w:sz w:val="24"/>
          <w:szCs w:val="24"/>
        </w:rPr>
        <w:t xml:space="preserve"> In: </w:t>
      </w:r>
      <w:r>
        <w:rPr>
          <w:b/>
          <w:sz w:val="24"/>
          <w:szCs w:val="24"/>
        </w:rPr>
        <w:t>Weber</w:t>
      </w:r>
      <w:r>
        <w:rPr>
          <w:sz w:val="24"/>
          <w:szCs w:val="24"/>
        </w:rPr>
        <w:t xml:space="preserve">. Coleção Grandes Cientistas Sociais, São Paulo: Ática, 1991, p. 7-34.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______. </w:t>
      </w:r>
      <w:r>
        <w:rPr>
          <w:b/>
          <w:sz w:val="24"/>
          <w:szCs w:val="24"/>
        </w:rPr>
        <w:t xml:space="preserve">Crítica e Resignação. </w:t>
      </w:r>
      <w:r>
        <w:rPr>
          <w:sz w:val="24"/>
          <w:szCs w:val="24"/>
        </w:rPr>
        <w:t xml:space="preserve">Max Weber e a teoria social. A ação e a </w:t>
      </w:r>
      <w:proofErr w:type="spellStart"/>
      <w:r>
        <w:rPr>
          <w:sz w:val="24"/>
          <w:szCs w:val="24"/>
        </w:rPr>
        <w:t>renúnica</w:t>
      </w:r>
      <w:proofErr w:type="spellEnd"/>
      <w:r>
        <w:rPr>
          <w:sz w:val="24"/>
          <w:szCs w:val="24"/>
        </w:rPr>
        <w:t xml:space="preserve">, Parte I,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1. 2. ed. São Paulo: Martins Fontes 2003, p.3 – 19.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DIAS, E. F. E CASTRO, A. M. </w:t>
      </w:r>
      <w:r>
        <w:rPr>
          <w:b/>
          <w:sz w:val="24"/>
          <w:szCs w:val="24"/>
        </w:rPr>
        <w:t>Introdução ao Pensamento Sociológico</w:t>
      </w:r>
      <w:r>
        <w:rPr>
          <w:sz w:val="24"/>
          <w:szCs w:val="24"/>
        </w:rPr>
        <w:t xml:space="preserve">. In. Parte I, 9. ed.  Rio de Janeiro: Eldorado Tijuca, 1985, p. 11-36.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DURKHEIM, É. </w:t>
      </w:r>
      <w:r>
        <w:rPr>
          <w:b/>
          <w:sz w:val="24"/>
          <w:szCs w:val="24"/>
        </w:rPr>
        <w:t>As regras do método sociológico.</w:t>
      </w:r>
      <w:r>
        <w:rPr>
          <w:sz w:val="24"/>
          <w:szCs w:val="24"/>
        </w:rPr>
        <w:t xml:space="preserve"> São Paulo: Nacional, 1966.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______. </w:t>
      </w:r>
      <w:r>
        <w:rPr>
          <w:b/>
          <w:sz w:val="24"/>
          <w:szCs w:val="24"/>
        </w:rPr>
        <w:t>A divisão do trabalho social</w:t>
      </w:r>
      <w:r>
        <w:rPr>
          <w:sz w:val="24"/>
          <w:szCs w:val="24"/>
        </w:rPr>
        <w:t xml:space="preserve">. Lisboa: Presença, 1989.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______. O suicídio – estudo de sociologia. </w:t>
      </w:r>
      <w:proofErr w:type="spellStart"/>
      <w:proofErr w:type="gramStart"/>
      <w:r>
        <w:rPr>
          <w:sz w:val="24"/>
          <w:szCs w:val="24"/>
        </w:rPr>
        <w:t>cap</w:t>
      </w:r>
      <w:proofErr w:type="spellEnd"/>
      <w:proofErr w:type="gramEnd"/>
      <w:r>
        <w:rPr>
          <w:sz w:val="24"/>
          <w:szCs w:val="24"/>
        </w:rPr>
        <w:t xml:space="preserve"> V, São Paulo: Martins Fontes, 2000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p. 303-353.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______. </w:t>
      </w:r>
      <w:r>
        <w:rPr>
          <w:b/>
          <w:sz w:val="24"/>
          <w:szCs w:val="24"/>
        </w:rPr>
        <w:t xml:space="preserve">As formas elementares da vida religiosa. </w:t>
      </w:r>
      <w:r>
        <w:rPr>
          <w:sz w:val="24"/>
          <w:szCs w:val="24"/>
        </w:rPr>
        <w:t xml:space="preserve">São Paulo: Paulinas, 1989.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MICHAEL. </w:t>
      </w:r>
      <w:r>
        <w:rPr>
          <w:b/>
          <w:sz w:val="24"/>
          <w:szCs w:val="24"/>
        </w:rPr>
        <w:t>Por Uma Sociologia Pública</w:t>
      </w:r>
      <w:r>
        <w:rPr>
          <w:sz w:val="24"/>
          <w:szCs w:val="24"/>
        </w:rPr>
        <w:t xml:space="preserve">. São Paulo: Alameda, 2009, p.117-134.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MILLS, W. </w:t>
      </w:r>
      <w:r>
        <w:rPr>
          <w:b/>
          <w:sz w:val="24"/>
          <w:szCs w:val="24"/>
        </w:rPr>
        <w:t>A imaginação sociológica</w:t>
      </w:r>
      <w:r>
        <w:rPr>
          <w:sz w:val="24"/>
          <w:szCs w:val="24"/>
        </w:rPr>
        <w:t>. Rio de Janeiro: Zahar, ed. 1975.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WEBER, M. “</w:t>
      </w:r>
      <w:r>
        <w:rPr>
          <w:b/>
          <w:sz w:val="24"/>
          <w:szCs w:val="24"/>
        </w:rPr>
        <w:t>A objetividade do conhecimento nas ciências sociais</w:t>
      </w:r>
      <w:r>
        <w:rPr>
          <w:sz w:val="24"/>
          <w:szCs w:val="24"/>
        </w:rPr>
        <w:t>”. Tradução: apresentação e comentários Gabriel Cohn. São Paulo: Ática, 2006.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______. “Conceitos sociológicos fundamentais”. In: </w:t>
      </w:r>
      <w:r>
        <w:rPr>
          <w:b/>
          <w:sz w:val="24"/>
          <w:szCs w:val="24"/>
        </w:rPr>
        <w:t>Economia e Sociedade</w:t>
      </w:r>
      <w:r>
        <w:rPr>
          <w:sz w:val="24"/>
          <w:szCs w:val="24"/>
        </w:rPr>
        <w:t xml:space="preserve">, Vol. 1. Brasília: UNB, 1991 (págs. 03-30).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______. “</w:t>
      </w:r>
      <w:r>
        <w:rPr>
          <w:b/>
          <w:sz w:val="24"/>
          <w:szCs w:val="24"/>
        </w:rPr>
        <w:t>A ética protestante e o espírito do capitalismo</w:t>
      </w:r>
      <w:r>
        <w:rPr>
          <w:sz w:val="24"/>
          <w:szCs w:val="24"/>
        </w:rPr>
        <w:t xml:space="preserve">”. São Paulo: Companhia das Letras, 2004.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______. A Psicologia social das religiões mundiais. In: </w:t>
      </w:r>
      <w:r>
        <w:rPr>
          <w:b/>
          <w:sz w:val="24"/>
          <w:szCs w:val="24"/>
        </w:rPr>
        <w:t>Ensaios de Sociologia</w:t>
      </w:r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introd</w:t>
      </w:r>
      <w:proofErr w:type="spellEnd"/>
      <w:r>
        <w:rPr>
          <w:sz w:val="24"/>
          <w:szCs w:val="24"/>
        </w:rPr>
        <w:t xml:space="preserve">. H.H. </w:t>
      </w:r>
      <w:proofErr w:type="spellStart"/>
      <w:r>
        <w:rPr>
          <w:sz w:val="24"/>
          <w:szCs w:val="24"/>
        </w:rPr>
        <w:t>Gerth</w:t>
      </w:r>
      <w:proofErr w:type="spellEnd"/>
      <w:r>
        <w:rPr>
          <w:sz w:val="24"/>
          <w:szCs w:val="24"/>
        </w:rPr>
        <w:t xml:space="preserve"> e C. Wright Mills). 5. ed. Rio Janeiro: LTC, 2002, “Classe, Estamento e Partido”.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______. “Os tipos de dominação”. In: </w:t>
      </w:r>
      <w:r>
        <w:rPr>
          <w:b/>
          <w:sz w:val="24"/>
          <w:szCs w:val="24"/>
        </w:rPr>
        <w:t>Economia e Sociedade</w:t>
      </w:r>
      <w:r>
        <w:rPr>
          <w:sz w:val="24"/>
          <w:szCs w:val="24"/>
        </w:rPr>
        <w:t>, Vol. 1, Brasília: UNB, 1991.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______. “Classe, Estamento e Partido”, In: </w:t>
      </w:r>
      <w:r>
        <w:rPr>
          <w:b/>
          <w:sz w:val="24"/>
          <w:szCs w:val="24"/>
        </w:rPr>
        <w:t>Ensaios de Sociologia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introd</w:t>
      </w:r>
      <w:proofErr w:type="spellEnd"/>
      <w:r>
        <w:rPr>
          <w:sz w:val="24"/>
          <w:szCs w:val="24"/>
        </w:rPr>
        <w:t xml:space="preserve">. H.H. </w:t>
      </w:r>
      <w:proofErr w:type="spellStart"/>
      <w:r>
        <w:rPr>
          <w:sz w:val="24"/>
          <w:szCs w:val="24"/>
        </w:rPr>
        <w:t>Gerth</w:t>
      </w:r>
      <w:proofErr w:type="spellEnd"/>
      <w:r>
        <w:rPr>
          <w:sz w:val="24"/>
          <w:szCs w:val="24"/>
        </w:rPr>
        <w:t xml:space="preserve"> e C. Wright Mills). 5ª ed. Rio de Janeiro: LTC, 2002.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______. “Parte I: Ciência e Política (A política como vocação e A ciência como </w:t>
      </w:r>
      <w:proofErr w:type="gramStart"/>
      <w:r>
        <w:rPr>
          <w:sz w:val="24"/>
          <w:szCs w:val="24"/>
        </w:rPr>
        <w:t>vocação)”</w:t>
      </w:r>
      <w:proofErr w:type="gramEnd"/>
      <w:r>
        <w:rPr>
          <w:sz w:val="24"/>
          <w:szCs w:val="24"/>
        </w:rPr>
        <w:t xml:space="preserve"> In: </w:t>
      </w:r>
      <w:r>
        <w:rPr>
          <w:b/>
          <w:sz w:val="24"/>
          <w:szCs w:val="24"/>
        </w:rPr>
        <w:t xml:space="preserve">Ensaios de Sociologia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introd</w:t>
      </w:r>
      <w:proofErr w:type="spellEnd"/>
      <w:r>
        <w:rPr>
          <w:sz w:val="24"/>
          <w:szCs w:val="24"/>
        </w:rPr>
        <w:t xml:space="preserve">. H.H. </w:t>
      </w:r>
      <w:proofErr w:type="spellStart"/>
      <w:r>
        <w:rPr>
          <w:sz w:val="24"/>
          <w:szCs w:val="24"/>
        </w:rPr>
        <w:t>Gerth</w:t>
      </w:r>
      <w:proofErr w:type="spellEnd"/>
      <w:r>
        <w:rPr>
          <w:sz w:val="24"/>
          <w:szCs w:val="24"/>
        </w:rPr>
        <w:t xml:space="preserve"> e C. Wright Mills). 5ª ed. Rio de Janeiro: LTC, 2002.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PIERUCCI, F. “Secularização segundo Max Weber – da contemporânea serventia de voltarmos a acessar um velho sentido”. In: Jessé Souza (</w:t>
      </w: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A Atualidade de Max Weber, </w:t>
      </w:r>
      <w:r>
        <w:rPr>
          <w:sz w:val="24"/>
          <w:szCs w:val="24"/>
        </w:rPr>
        <w:t xml:space="preserve">Brasília: UNB, 2000, p. 105-162. </w:t>
      </w:r>
    </w:p>
    <w:p w:rsidR="00C94107" w:rsidRDefault="006D5E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RODRIGUES, J. A.; DURKHEIM, É. Coleção Grandes Cientistas Sociais, São Paulo: Ática, 1988. In: </w:t>
      </w:r>
      <w:r>
        <w:rPr>
          <w:b/>
          <w:sz w:val="24"/>
          <w:szCs w:val="24"/>
        </w:rPr>
        <w:t>A Sociologia de Durkheim</w:t>
      </w:r>
      <w:r>
        <w:rPr>
          <w:sz w:val="24"/>
          <w:szCs w:val="24"/>
        </w:rPr>
        <w:t xml:space="preserve">. p. 7-38. </w:t>
      </w:r>
    </w:p>
    <w:p w:rsidR="00C94107" w:rsidRDefault="00C94107">
      <w:pPr>
        <w:spacing w:line="360" w:lineRule="auto"/>
        <w:jc w:val="both"/>
        <w:rPr>
          <w:b/>
          <w:sz w:val="24"/>
          <w:szCs w:val="24"/>
        </w:rPr>
      </w:pPr>
    </w:p>
    <w:p w:rsidR="00C94107" w:rsidRDefault="0063676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4294966661" distR="4294966661" simplePos="0" relativeHeight="251657728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635</wp:posOffset>
                </wp:positionV>
                <wp:extent cx="64135" cy="146685"/>
                <wp:effectExtent l="6350" t="6985" r="5715" b="8255"/>
                <wp:wrapSquare wrapText="largest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146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107" w:rsidRDefault="006D5EBF">
                            <w:pPr>
                              <w:pStyle w:val="Cabealho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Style w:val="Nmerodepgina"/>
                              </w:rPr>
                            </w:pPr>
                            <w:r>
                              <w:rPr>
                                <w:rStyle w:val="Nmerodepgina"/>
                              </w:rPr>
                              <w:fldChar w:fldCharType="begin"/>
                            </w:r>
                            <w:r>
                              <w:instrText>PAGE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0.2pt;margin-top:.05pt;width:5.05pt;height:11.55pt;z-index:251657728;visibility:visible;mso-wrap-style:square;mso-width-percent:0;mso-height-percent:0;mso-wrap-distance-left:-.05pt;mso-wrap-distance-top:0;mso-wrap-distance-right:-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">
                <v:fill opacity="0"/>
                <v:textbox inset="0,0,0,0">
                  <w:txbxContent>
                    <w:p w:rsidR="00C94107" w:rsidRDefault="006D5EBF">
                      <w:pPr>
                        <w:pStyle w:val="Cabealho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rPr>
                          <w:rStyle w:val="Nmerodepgina"/>
                        </w:rPr>
                      </w:pPr>
                      <w:r>
                        <w:rPr>
                          <w:rStyle w:val="Nmerodepgina"/>
                        </w:rPr>
                        <w:fldChar w:fldCharType="begin"/>
                      </w:r>
                      <w:r>
                        <w:instrText>PAGE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sectPr w:rsidR="00C94107">
      <w:headerReference w:type="default" r:id="rId8"/>
      <w:pgSz w:w="11906" w:h="16838"/>
      <w:pgMar w:top="1418" w:right="1701" w:bottom="1418" w:left="1701" w:header="709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14" w:rsidRDefault="005E7D14">
      <w:r>
        <w:separator/>
      </w:r>
    </w:p>
  </w:endnote>
  <w:endnote w:type="continuationSeparator" w:id="0">
    <w:p w:rsidR="005E7D14" w:rsidRDefault="005E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bel Bk B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urich Ex BT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14" w:rsidRDefault="005E7D14">
      <w:r>
        <w:separator/>
      </w:r>
    </w:p>
  </w:footnote>
  <w:footnote w:type="continuationSeparator" w:id="0">
    <w:p w:rsidR="005E7D14" w:rsidRDefault="005E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07" w:rsidRDefault="00C94107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5469"/>
    <w:multiLevelType w:val="multilevel"/>
    <w:tmpl w:val="202CB5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02328"/>
    <w:multiLevelType w:val="multilevel"/>
    <w:tmpl w:val="D5B8A9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05EF3"/>
    <w:multiLevelType w:val="multilevel"/>
    <w:tmpl w:val="9A9A89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07"/>
    <w:rsid w:val="000F030A"/>
    <w:rsid w:val="005E7D14"/>
    <w:rsid w:val="00636762"/>
    <w:rsid w:val="006D5EBF"/>
    <w:rsid w:val="00857CC9"/>
    <w:rsid w:val="00C94107"/>
    <w:rsid w:val="00D9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79782-6C7A-4E81-B941-DF601529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0E"/>
    <w:pPr>
      <w:suppressAutoHyphens/>
    </w:pPr>
  </w:style>
  <w:style w:type="paragraph" w:styleId="Ttulo1">
    <w:name w:val="heading 1"/>
    <w:basedOn w:val="Normal"/>
    <w:next w:val="Normal"/>
    <w:link w:val="Ttulo1Char"/>
    <w:qFormat/>
    <w:rsid w:val="001E51FB"/>
    <w:pPr>
      <w:keepNext/>
      <w:outlineLvl w:val="0"/>
    </w:pPr>
    <w:rPr>
      <w:rFonts w:ascii="Kabel Bk BT" w:hAnsi="Kabel Bk BT"/>
      <w:b/>
    </w:rPr>
  </w:style>
  <w:style w:type="paragraph" w:styleId="Ttulo2">
    <w:name w:val="heading 2"/>
    <w:basedOn w:val="Normal"/>
    <w:next w:val="Normal"/>
    <w:link w:val="Ttulo2Char"/>
    <w:qFormat/>
    <w:rsid w:val="001E51FB"/>
    <w:pPr>
      <w:keepNext/>
      <w:shd w:val="clear" w:color="auto" w:fill="DFDFDF"/>
      <w:ind w:left="-142"/>
      <w:outlineLvl w:val="1"/>
    </w:pPr>
    <w:rPr>
      <w:rFonts w:ascii="Kabel Bk BT" w:hAnsi="Kabel Bk BT"/>
      <w:b/>
    </w:rPr>
  </w:style>
  <w:style w:type="paragraph" w:styleId="Ttulo3">
    <w:name w:val="heading 3"/>
    <w:basedOn w:val="Normal"/>
    <w:next w:val="Normal"/>
    <w:link w:val="Ttulo3Char"/>
    <w:qFormat/>
    <w:rsid w:val="001E51FB"/>
    <w:pPr>
      <w:keepNext/>
      <w:shd w:val="clear" w:color="auto" w:fill="DFDFDF"/>
      <w:outlineLvl w:val="2"/>
    </w:pPr>
    <w:rPr>
      <w:rFonts w:ascii="Kabel Bk BT" w:hAnsi="Kabel Bk BT"/>
      <w:b/>
    </w:rPr>
  </w:style>
  <w:style w:type="paragraph" w:styleId="Ttulo4">
    <w:name w:val="heading 4"/>
    <w:basedOn w:val="Normal"/>
    <w:next w:val="Normal"/>
    <w:link w:val="Ttulo4Char"/>
    <w:qFormat/>
    <w:rsid w:val="001E51FB"/>
    <w:pPr>
      <w:keepNext/>
      <w:outlineLvl w:val="3"/>
    </w:pPr>
    <w:rPr>
      <w:rFonts w:ascii="Arial" w:hAnsi="Arial"/>
      <w:i/>
    </w:rPr>
  </w:style>
  <w:style w:type="paragraph" w:styleId="Ttulo5">
    <w:name w:val="heading 5"/>
    <w:basedOn w:val="Normal"/>
    <w:next w:val="Normal"/>
    <w:link w:val="Ttulo5Char"/>
    <w:qFormat/>
    <w:rsid w:val="001E51FB"/>
    <w:pPr>
      <w:keepNext/>
      <w:outlineLvl w:val="4"/>
    </w:pPr>
    <w:rPr>
      <w:rFonts w:ascii="Kabel Bk BT" w:hAnsi="Kabel Bk BT"/>
      <w:b/>
      <w:color w:val="000000"/>
    </w:rPr>
  </w:style>
  <w:style w:type="paragraph" w:styleId="Ttulo6">
    <w:name w:val="heading 6"/>
    <w:basedOn w:val="Normal"/>
    <w:next w:val="Normal"/>
    <w:link w:val="Ttulo6Char"/>
    <w:qFormat/>
    <w:rsid w:val="001E51F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1E51FB"/>
    <w:pPr>
      <w:keepNext/>
      <w:outlineLvl w:val="6"/>
    </w:pPr>
    <w:rPr>
      <w:rFonts w:ascii="Kabel Bk BT" w:hAnsi="Kabel Bk BT"/>
      <w:b/>
      <w:i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1E51FB"/>
    <w:pPr>
      <w:keepNext/>
      <w:jc w:val="center"/>
      <w:outlineLvl w:val="7"/>
    </w:pPr>
    <w:rPr>
      <w:rFonts w:ascii="Zurich Ex BT" w:hAnsi="Zurich Ex BT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1E51FB"/>
    <w:pPr>
      <w:keepNext/>
      <w:outlineLvl w:val="8"/>
    </w:pPr>
    <w:rPr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96D"/>
    <w:rPr>
      <w:rFonts w:ascii="Kabel Bk BT" w:hAnsi="Kabel Bk BT"/>
      <w:b/>
    </w:rPr>
  </w:style>
  <w:style w:type="character" w:styleId="Forte">
    <w:name w:val="Strong"/>
    <w:basedOn w:val="Fontepargpadro"/>
    <w:qFormat/>
    <w:rsid w:val="00DB496D"/>
    <w:rPr>
      <w:b/>
      <w:bCs/>
    </w:rPr>
  </w:style>
  <w:style w:type="character" w:customStyle="1" w:styleId="Ttulo2Char">
    <w:name w:val="Título 2 Char"/>
    <w:basedOn w:val="Fontepargpadro"/>
    <w:link w:val="Ttulo2"/>
    <w:rsid w:val="001E51FB"/>
    <w:rPr>
      <w:rFonts w:ascii="Kabel Bk BT" w:hAnsi="Kabel Bk BT"/>
      <w:shd w:val="clear" w:color="auto" w:fill="DFDFDF"/>
    </w:rPr>
  </w:style>
  <w:style w:type="character" w:customStyle="1" w:styleId="Ttulo3Char">
    <w:name w:val="Título 3 Char"/>
    <w:basedOn w:val="Fontepargpadro"/>
    <w:link w:val="Ttulo3"/>
    <w:rsid w:val="001E51FB"/>
    <w:rPr>
      <w:rFonts w:ascii="Kabel Bk BT" w:hAnsi="Kabel Bk BT"/>
      <w:shd w:val="clear" w:color="auto" w:fill="DFDFDF"/>
    </w:rPr>
  </w:style>
  <w:style w:type="character" w:customStyle="1" w:styleId="Ttulo4Char">
    <w:name w:val="Título 4 Char"/>
    <w:basedOn w:val="Fontepargpadro"/>
    <w:link w:val="Ttulo4"/>
    <w:rsid w:val="001E51FB"/>
    <w:rPr>
      <w:rFonts w:ascii="Arial" w:hAnsi="Arial"/>
      <w:i/>
    </w:rPr>
  </w:style>
  <w:style w:type="character" w:customStyle="1" w:styleId="Ttulo5Char">
    <w:name w:val="Título 5 Char"/>
    <w:basedOn w:val="Fontepargpadro"/>
    <w:link w:val="Ttulo5"/>
    <w:rsid w:val="001E51FB"/>
    <w:rPr>
      <w:rFonts w:ascii="Kabel Bk BT" w:hAnsi="Kabel Bk BT"/>
      <w:b/>
      <w:color w:val="000000"/>
    </w:rPr>
  </w:style>
  <w:style w:type="character" w:customStyle="1" w:styleId="Ttulo6Char">
    <w:name w:val="Título 6 Char"/>
    <w:basedOn w:val="Fontepargpadro"/>
    <w:link w:val="Ttulo6"/>
    <w:rsid w:val="001E51FB"/>
    <w:rPr>
      <w:b/>
    </w:rPr>
  </w:style>
  <w:style w:type="character" w:customStyle="1" w:styleId="Ttulo7Char">
    <w:name w:val="Título 7 Char"/>
    <w:basedOn w:val="Fontepargpadro"/>
    <w:link w:val="Ttulo7"/>
    <w:rsid w:val="001E51FB"/>
    <w:rPr>
      <w:rFonts w:ascii="Kabel Bk BT" w:hAnsi="Kabel Bk BT"/>
      <w:b/>
      <w:i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1E51FB"/>
    <w:rPr>
      <w:rFonts w:ascii="Zurich Ex BT" w:hAnsi="Zurich Ex BT"/>
      <w:b/>
      <w:sz w:val="24"/>
    </w:rPr>
  </w:style>
  <w:style w:type="character" w:customStyle="1" w:styleId="Ttulo9Char">
    <w:name w:val="Título 9 Char"/>
    <w:basedOn w:val="Fontepargpadro"/>
    <w:link w:val="Ttulo9"/>
    <w:rsid w:val="001E51FB"/>
    <w:rPr>
      <w:b/>
      <w:i/>
      <w:sz w:val="22"/>
    </w:rPr>
  </w:style>
  <w:style w:type="character" w:customStyle="1" w:styleId="CabealhoChar">
    <w:name w:val="Cabeçalho Char"/>
    <w:basedOn w:val="Fontepargpadro"/>
    <w:link w:val="Cabealho"/>
    <w:rsid w:val="009F7A0E"/>
  </w:style>
  <w:style w:type="character" w:styleId="Nmerodepgina">
    <w:name w:val="page number"/>
    <w:basedOn w:val="Fontepargpadro"/>
    <w:rsid w:val="009F7A0E"/>
  </w:style>
  <w:style w:type="character" w:customStyle="1" w:styleId="ListLabel1">
    <w:name w:val="ListLabel 1"/>
    <w:rPr>
      <w:b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9F7A0E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BC0DCF"/>
    <w:pPr>
      <w:ind w:left="720"/>
      <w:contextualSpacing/>
    </w:p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6D298-6E55-4023-8182-1B3422E6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T.S</cp:lastModifiedBy>
  <cp:revision>4</cp:revision>
  <dcterms:created xsi:type="dcterms:W3CDTF">2017-07-21T11:25:00Z</dcterms:created>
  <dcterms:modified xsi:type="dcterms:W3CDTF">2017-07-21T12:15:00Z</dcterms:modified>
  <dc:language>pt-BR</dc:language>
</cp:coreProperties>
</file>